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BF3" w:rsidRDefault="00BF2BF3" w:rsidP="00BF2B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F2BF3" w:rsidRDefault="00BF2BF3" w:rsidP="00BF2B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16.</w:t>
      </w:r>
      <w:r>
        <w:rPr>
          <w:rFonts w:ascii="Times New Roman" w:hAnsi="Times New Roman"/>
          <w:b/>
          <w:sz w:val="24"/>
        </w:rPr>
        <w:t>12.2020 г. группа 20 ПСО(9)</w:t>
      </w:r>
    </w:p>
    <w:p w:rsidR="00BF2BF3" w:rsidRDefault="00BF2BF3" w:rsidP="00BF2BF3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Крестьянская война в Германии. Жан Кальвин и распространение его учения.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F2BF3" w:rsidRPr="007050B7" w:rsidRDefault="00BF2BF3" w:rsidP="00BF2BF3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 w:rsidRPr="007050B7">
        <w:rPr>
          <w:b/>
          <w:bCs/>
          <w:sz w:val="28"/>
          <w:szCs w:val="28"/>
        </w:rPr>
        <w:t>Крестья́нская</w:t>
      </w:r>
      <w:proofErr w:type="spellEnd"/>
      <w:r w:rsidRPr="007050B7">
        <w:rPr>
          <w:b/>
          <w:bCs/>
          <w:sz w:val="28"/>
          <w:szCs w:val="28"/>
        </w:rPr>
        <w:t xml:space="preserve"> война́ </w:t>
      </w:r>
      <w:r w:rsidRPr="007050B7">
        <w:rPr>
          <w:sz w:val="28"/>
          <w:szCs w:val="28"/>
        </w:rPr>
        <w:t xml:space="preserve">в </w:t>
      </w:r>
      <w:proofErr w:type="spellStart"/>
      <w:r w:rsidRPr="007050B7">
        <w:rPr>
          <w:sz w:val="28"/>
          <w:szCs w:val="28"/>
        </w:rPr>
        <w:t>Герма́нии</w:t>
      </w:r>
      <w:proofErr w:type="spellEnd"/>
      <w:r w:rsidRPr="007050B7">
        <w:rPr>
          <w:sz w:val="28"/>
          <w:szCs w:val="28"/>
        </w:rPr>
        <w:t xml:space="preserve"> </w:t>
      </w:r>
      <w:r w:rsidRPr="007050B7">
        <w:rPr>
          <w:sz w:val="28"/>
          <w:szCs w:val="28"/>
        </w:rPr>
        <w:t>народное восстание в </w:t>
      </w:r>
      <w:hyperlink r:id="rId5" w:tooltip="Центральная Европа" w:history="1">
        <w:r w:rsidRPr="007050B7">
          <w:rPr>
            <w:rStyle w:val="a5"/>
            <w:color w:val="auto"/>
            <w:sz w:val="28"/>
            <w:szCs w:val="28"/>
            <w:u w:val="none"/>
          </w:rPr>
          <w:t>Центральной Европе</w:t>
        </w:r>
      </w:hyperlink>
      <w:r w:rsidRPr="007050B7">
        <w:rPr>
          <w:sz w:val="28"/>
          <w:szCs w:val="28"/>
        </w:rPr>
        <w:t>, прежде всего, на территории </w:t>
      </w:r>
      <w:hyperlink r:id="rId6" w:tooltip="Священная Римская империя" w:history="1">
        <w:r w:rsidRPr="007050B7">
          <w:rPr>
            <w:rStyle w:val="a5"/>
            <w:color w:val="auto"/>
            <w:sz w:val="28"/>
            <w:szCs w:val="28"/>
            <w:u w:val="none"/>
          </w:rPr>
          <w:t>Священной Римской империи</w:t>
        </w:r>
      </w:hyperlink>
      <w:r w:rsidRPr="007050B7">
        <w:rPr>
          <w:sz w:val="28"/>
          <w:szCs w:val="28"/>
        </w:rPr>
        <w:t> в 1524—1526 годах.</w:t>
      </w:r>
    </w:p>
    <w:p w:rsidR="00BF2BF3" w:rsidRPr="007050B7" w:rsidRDefault="00BF2BF3" w:rsidP="00BF2BF3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050B7">
        <w:rPr>
          <w:sz w:val="28"/>
          <w:szCs w:val="28"/>
        </w:rPr>
        <w:t>Как и предшествовавшие ей </w:t>
      </w:r>
      <w:hyperlink r:id="rId7" w:tooltip="Крестьянский башмак" w:history="1">
        <w:r w:rsidRPr="007050B7">
          <w:rPr>
            <w:rStyle w:val="a5"/>
            <w:color w:val="auto"/>
            <w:sz w:val="28"/>
            <w:szCs w:val="28"/>
            <w:u w:val="none"/>
          </w:rPr>
          <w:t>Движение башмака</w:t>
        </w:r>
      </w:hyperlink>
      <w:r w:rsidRPr="007050B7">
        <w:rPr>
          <w:sz w:val="28"/>
          <w:szCs w:val="28"/>
        </w:rPr>
        <w:t> и </w:t>
      </w:r>
      <w:hyperlink r:id="rId8" w:tooltip="Гуситские войны" w:history="1">
        <w:r w:rsidRPr="007050B7">
          <w:rPr>
            <w:rStyle w:val="a5"/>
            <w:color w:val="auto"/>
            <w:sz w:val="28"/>
            <w:szCs w:val="28"/>
            <w:u w:val="none"/>
          </w:rPr>
          <w:t>Гуситские войны</w:t>
        </w:r>
      </w:hyperlink>
      <w:r w:rsidRPr="007050B7">
        <w:rPr>
          <w:sz w:val="28"/>
          <w:szCs w:val="28"/>
        </w:rPr>
        <w:t>, она состояла из массовых волнений экономического и религиозного характера, движущую силу которых составляли крестьяне, горожане и дворяне. Общей программы у этих выступлений не было, однако различные группы восставших провозглашали собственные программы наподобие «</w:t>
      </w:r>
      <w:hyperlink r:id="rId9" w:tooltip="Двенадцать статей" w:history="1">
        <w:r w:rsidRPr="007050B7">
          <w:rPr>
            <w:rStyle w:val="a5"/>
            <w:color w:val="auto"/>
            <w:sz w:val="28"/>
            <w:szCs w:val="28"/>
            <w:u w:val="none"/>
          </w:rPr>
          <w:t>Двенадцати статей</w:t>
        </w:r>
      </w:hyperlink>
      <w:r w:rsidRPr="007050B7">
        <w:rPr>
          <w:sz w:val="28"/>
          <w:szCs w:val="28"/>
        </w:rPr>
        <w:t>», в которых </w:t>
      </w:r>
      <w:proofErr w:type="spellStart"/>
      <w:r w:rsidRPr="007050B7">
        <w:rPr>
          <w:sz w:val="28"/>
          <w:szCs w:val="28"/>
        </w:rPr>
        <w:fldChar w:fldCharType="begin"/>
      </w:r>
      <w:r w:rsidRPr="007050B7">
        <w:rPr>
          <w:sz w:val="28"/>
          <w:szCs w:val="28"/>
        </w:rPr>
        <w:instrText xml:space="preserve"> HYPERLINK "https://ru.wikipedia.org/wiki/%D0%9C%D0%B8%D0%BB%D0%BB%D0%B5%D0%BD%D0%B0%D1%80%D0%B8%D0%B7%D0%BC" \o "Милленаризм" </w:instrText>
      </w:r>
      <w:r w:rsidRPr="007050B7">
        <w:rPr>
          <w:sz w:val="28"/>
          <w:szCs w:val="28"/>
        </w:rPr>
        <w:fldChar w:fldCharType="separate"/>
      </w:r>
      <w:r w:rsidRPr="007050B7">
        <w:rPr>
          <w:rStyle w:val="a5"/>
          <w:color w:val="auto"/>
          <w:sz w:val="28"/>
          <w:szCs w:val="28"/>
          <w:u w:val="none"/>
        </w:rPr>
        <w:t>милленаристские</w:t>
      </w:r>
      <w:proofErr w:type="spellEnd"/>
      <w:r w:rsidRPr="007050B7">
        <w:rPr>
          <w:sz w:val="28"/>
          <w:szCs w:val="28"/>
        </w:rPr>
        <w:fldChar w:fldCharType="end"/>
      </w:r>
      <w:r w:rsidRPr="007050B7">
        <w:rPr>
          <w:sz w:val="28"/>
          <w:szCs w:val="28"/>
        </w:rPr>
        <w:t> религиозные чаяния (</w:t>
      </w:r>
      <w:hyperlink r:id="rId10" w:tooltip="Второе пришествие Христа" w:history="1">
        <w:r w:rsidRPr="007050B7">
          <w:rPr>
            <w:rStyle w:val="a5"/>
            <w:color w:val="auto"/>
            <w:sz w:val="28"/>
            <w:szCs w:val="28"/>
            <w:u w:val="none"/>
          </w:rPr>
          <w:t>Второго пришествия Христа</w:t>
        </w:r>
      </w:hyperlink>
      <w:r w:rsidRPr="007050B7">
        <w:rPr>
          <w:sz w:val="28"/>
          <w:szCs w:val="28"/>
        </w:rPr>
        <w:t> и конца прошлой истории ожидали с 1492 года, — 7 000 лет от «</w:t>
      </w:r>
      <w:hyperlink r:id="rId11" w:tooltip="Сотворение мира в Библии" w:history="1">
        <w:r w:rsidRPr="007050B7">
          <w:rPr>
            <w:rStyle w:val="a5"/>
            <w:color w:val="auto"/>
            <w:sz w:val="28"/>
            <w:szCs w:val="28"/>
            <w:u w:val="none"/>
          </w:rPr>
          <w:t>сотворения мира</w:t>
        </w:r>
      </w:hyperlink>
      <w:r w:rsidRPr="007050B7">
        <w:rPr>
          <w:sz w:val="28"/>
          <w:szCs w:val="28"/>
        </w:rPr>
        <w:t>») сочетались с уравнительными </w:t>
      </w:r>
      <w:hyperlink r:id="rId12" w:tooltip="Утопический социализм" w:history="1">
        <w:r w:rsidRPr="007050B7">
          <w:rPr>
            <w:rStyle w:val="a5"/>
            <w:color w:val="auto"/>
            <w:sz w:val="28"/>
            <w:szCs w:val="28"/>
            <w:u w:val="none"/>
          </w:rPr>
          <w:t>утопически-коммунистическими</w:t>
        </w:r>
      </w:hyperlink>
      <w:r w:rsidRPr="007050B7">
        <w:rPr>
          <w:sz w:val="28"/>
          <w:szCs w:val="28"/>
        </w:rPr>
        <w:t> требованиями.</w:t>
      </w:r>
    </w:p>
    <w:p w:rsidR="00BF2BF3" w:rsidRPr="007050B7" w:rsidRDefault="00BF2BF3" w:rsidP="00BF2BF3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050B7">
        <w:rPr>
          <w:sz w:val="28"/>
          <w:szCs w:val="28"/>
        </w:rPr>
        <w:t>Крестьянская война в Германии была крупнейшим народным восстанием в Европе до </w:t>
      </w:r>
      <w:hyperlink r:id="rId13" w:tooltip="Великая французская революция" w:history="1">
        <w:r w:rsidRPr="007050B7">
          <w:rPr>
            <w:rStyle w:val="a5"/>
            <w:color w:val="auto"/>
            <w:sz w:val="28"/>
            <w:szCs w:val="28"/>
            <w:u w:val="none"/>
          </w:rPr>
          <w:t>Великой французской революции</w:t>
        </w:r>
      </w:hyperlink>
      <w:r w:rsidRPr="007050B7">
        <w:rPr>
          <w:sz w:val="28"/>
          <w:szCs w:val="28"/>
        </w:rPr>
        <w:t>. Конфликт, происходивший в основном в южных, западных и центральных областях современной Германии, также затронул соседние </w:t>
      </w:r>
      <w:hyperlink r:id="rId14" w:tooltip="Эльзас" w:history="1">
        <w:r w:rsidRPr="007050B7">
          <w:rPr>
            <w:rStyle w:val="a5"/>
            <w:color w:val="auto"/>
            <w:sz w:val="28"/>
            <w:szCs w:val="28"/>
            <w:u w:val="none"/>
          </w:rPr>
          <w:t>Эльзас</w:t>
        </w:r>
      </w:hyperlink>
      <w:r w:rsidRPr="007050B7">
        <w:rPr>
          <w:sz w:val="28"/>
          <w:szCs w:val="28"/>
        </w:rPr>
        <w:t>, </w:t>
      </w:r>
      <w:hyperlink r:id="rId15" w:tooltip="Австрия" w:history="1">
        <w:r w:rsidRPr="007050B7">
          <w:rPr>
            <w:rStyle w:val="a5"/>
            <w:color w:val="auto"/>
            <w:sz w:val="28"/>
            <w:szCs w:val="28"/>
            <w:u w:val="none"/>
          </w:rPr>
          <w:t>Австрию</w:t>
        </w:r>
      </w:hyperlink>
      <w:r w:rsidRPr="007050B7">
        <w:rPr>
          <w:sz w:val="28"/>
          <w:szCs w:val="28"/>
        </w:rPr>
        <w:t> и Швейцарию, достиг пика весной-летом 1525 года, когда в событиях участвовало около 300 000 крестьян-повстанцев. </w:t>
      </w:r>
      <w:r w:rsidRPr="007050B7">
        <w:rPr>
          <w:sz w:val="28"/>
          <w:szCs w:val="28"/>
          <w:shd w:val="clear" w:color="auto" w:fill="FFEAEA"/>
        </w:rPr>
        <w:t>По современным оценкам, количество погибших соста</w:t>
      </w:r>
      <w:r w:rsidR="007050B7" w:rsidRPr="007050B7">
        <w:rPr>
          <w:sz w:val="28"/>
          <w:szCs w:val="28"/>
          <w:shd w:val="clear" w:color="auto" w:fill="FFEAEA"/>
        </w:rPr>
        <w:t>вило от 70.000 до 75.000 человек.</w:t>
      </w:r>
    </w:p>
    <w:p w:rsidR="00774467" w:rsidRPr="007050B7" w:rsidRDefault="00BF2BF3" w:rsidP="007050B7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  <w:shd w:val="clear" w:color="auto" w:fill="FFFFFF"/>
        </w:rPr>
      </w:pPr>
      <w:r w:rsidRPr="007050B7">
        <w:rPr>
          <w:sz w:val="28"/>
          <w:szCs w:val="28"/>
        </w:rPr>
        <w:t>Эти события находятся в центре внимания таких исторических произведений авторов левых взглядов, как «История крестьянской войны в Германии» </w:t>
      </w:r>
      <w:hyperlink r:id="rId16" w:tooltip="Вильгельм Циммерман" w:history="1">
        <w:r w:rsidRPr="007050B7">
          <w:rPr>
            <w:rStyle w:val="a5"/>
            <w:color w:val="auto"/>
            <w:sz w:val="28"/>
            <w:szCs w:val="28"/>
            <w:u w:val="none"/>
          </w:rPr>
          <w:t xml:space="preserve">Вильгельма </w:t>
        </w:r>
        <w:proofErr w:type="spellStart"/>
        <w:r w:rsidRPr="007050B7">
          <w:rPr>
            <w:rStyle w:val="a5"/>
            <w:color w:val="auto"/>
            <w:sz w:val="28"/>
            <w:szCs w:val="28"/>
            <w:u w:val="none"/>
          </w:rPr>
          <w:t>Циммермана</w:t>
        </w:r>
        <w:proofErr w:type="spellEnd"/>
      </w:hyperlink>
      <w:r w:rsidRPr="007050B7">
        <w:rPr>
          <w:sz w:val="28"/>
          <w:szCs w:val="28"/>
        </w:rPr>
        <w:t> и «</w:t>
      </w:r>
      <w:hyperlink r:id="rId17" w:tooltip="Крестьянская война в Германии (Энгельс)" w:history="1">
        <w:r w:rsidRPr="007050B7">
          <w:rPr>
            <w:rStyle w:val="a5"/>
            <w:color w:val="auto"/>
            <w:sz w:val="28"/>
            <w:szCs w:val="28"/>
            <w:u w:val="none"/>
          </w:rPr>
          <w:t>Крестьянская война в Германии</w:t>
        </w:r>
      </w:hyperlink>
      <w:r w:rsidRPr="007050B7">
        <w:rPr>
          <w:sz w:val="28"/>
          <w:szCs w:val="28"/>
        </w:rPr>
        <w:t>»</w:t>
      </w:r>
      <w:r w:rsidR="007050B7" w:rsidRPr="007050B7">
        <w:rPr>
          <w:sz w:val="28"/>
          <w:szCs w:val="28"/>
        </w:rPr>
        <w:t xml:space="preserve"> </w:t>
      </w:r>
      <w:hyperlink r:id="rId18" w:tooltip="" w:history="1">
        <w:r w:rsidR="007050B7" w:rsidRPr="007050B7">
          <w:rPr>
            <w:rStyle w:val="a5"/>
            <w:color w:val="auto"/>
            <w:sz w:val="28"/>
            <w:szCs w:val="28"/>
            <w:shd w:val="clear" w:color="auto" w:fill="FFFFFF"/>
          </w:rPr>
          <w:t>Фридриха Энгельса</w:t>
        </w:r>
      </w:hyperlink>
      <w:r w:rsidR="007050B7" w:rsidRPr="007050B7">
        <w:rPr>
          <w:sz w:val="28"/>
          <w:szCs w:val="28"/>
          <w:shd w:val="clear" w:color="auto" w:fill="FFFFFF"/>
        </w:rPr>
        <w:t>.</w:t>
      </w:r>
    </w:p>
    <w:p w:rsidR="007050B7" w:rsidRPr="007050B7" w:rsidRDefault="007050B7" w:rsidP="007050B7">
      <w:pPr>
        <w:pStyle w:val="a4"/>
        <w:shd w:val="clear" w:color="auto" w:fill="FFFFFF"/>
        <w:spacing w:before="120" w:beforeAutospacing="0" w:after="120" w:afterAutospacing="0"/>
        <w:rPr>
          <w:b/>
          <w:sz w:val="28"/>
          <w:szCs w:val="28"/>
        </w:rPr>
      </w:pPr>
      <w:r w:rsidRPr="007050B7">
        <w:rPr>
          <w:b/>
          <w:sz w:val="28"/>
          <w:szCs w:val="28"/>
        </w:rPr>
        <w:t>Причины восстания.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Усиление поборов с крестьян, расширение «господских» прав над сельским населением, неблагоприятные изменения в общих социальных условиях крестьянского быта, совершившиеся в конце </w:t>
      </w:r>
      <w:hyperlink r:id="rId19" w:tooltip="XV век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XV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 начале </w:t>
      </w:r>
      <w:hyperlink r:id="rId20" w:tooltip="XVI век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XVI века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брожение умов, вызванное </w:t>
      </w:r>
      <w:hyperlink r:id="rId21" w:tooltip="Реформация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Реформацией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, — таковы были главные причины Крестьянской войны. Требования крестьян ярко выступают в разных программах, появлявшихся в то время в большом количестве — особенно в так называемых «двенадцати статьях» и 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гейльброннском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проекте. «</w:t>
      </w:r>
      <w:hyperlink r:id="rId22" w:tooltip="Двенадцать статей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Двенадцать статей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», вышедшие в свет в </w:t>
      </w:r>
      <w:hyperlink r:id="rId23" w:tooltip="1525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1525 году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под заглавием «Основательные и истинные главные статьи, в которых считают себя обиженными все поселяне и сельские работники духовных и мирских начальств», были как бы крестьянским </w:t>
      </w:r>
      <w:hyperlink r:id="rId24" w:tooltip="Манифест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манифестом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, объединявшим требования громадного большинства. Требования эти были умеренны и справедливы и основывались единственно на святом Писании. Совсем не касаясь вопросов общественного устройства, авторы просили только свободы </w: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евангелической проповеди, отмены крепостничества, устранения наиболее обременительных феодальных повинностей и уничтожения привилегий, угнетающих массу народа.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"https://ru.wikipedia.org/wiki/%D0%93%D0%B5%D0%B9%D0%BB%D1%8C%D0%B1%D1%80%D0%BE%D0%BD%D0%BD" \o "Гейльбронн"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Гейльброннский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5" w:tooltip="Гейльброннская программа (страница отсутствует)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проект</w:t>
        </w:r>
      </w:hyperlink>
      <w:hyperlink r:id="rId26" w:anchor="cite_note-1" w:history="1">
        <w:r w:rsidRPr="007050B7">
          <w:rPr>
            <w:rFonts w:ascii="Times New Roman" w:eastAsia="Times New Roman" w:hAnsi="Times New Roman"/>
            <w:sz w:val="28"/>
            <w:szCs w:val="28"/>
            <w:vertAlign w:val="superscript"/>
            <w:lang w:eastAsia="ru-RU"/>
          </w:rPr>
          <w:t>[1]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был составлен комиссией из депутатов от </w:t>
      </w:r>
      <w:hyperlink r:id="rId27" w:tooltip="Инсургент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инсургентов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под сильным влиянием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"https://ru.wikipedia.org/wiki/%D0%93%D0%B8%D0%BF%D0%BB%D0%B5%D1%80,_%D0%92%D0%B5%D0%BD%D0%B4%D0%B5%D0%BB%D1%8C" \o "Гиплер, Вендель"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Венделя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Гиплера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и Фридриха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Вейганда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. Главная мысль этого проекта — освобождение крестьян из-под власти дворян, с вознаграждением последних из церковных имуществ, и реформа судов, на основании выборного и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общесословного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начала. Сообразно с этими основными требованиями и все крестьянское движение разбивается на три главных местных движения:</w:t>
      </w:r>
    </w:p>
    <w:p w:rsidR="007050B7" w:rsidRPr="007050B7" w:rsidRDefault="007050B7" w:rsidP="007050B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на юго-западе Германии, откуда вышла программа «Двенадцати статей», вождем восстания был </w:t>
      </w:r>
      <w:hyperlink r:id="rId28" w:tooltip="en:Hans Müller von Bulgenbach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Ганс </w:t>
        </w:r>
        <w:proofErr w:type="spellStart"/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Мюллер</w:t>
        </w:r>
      </w:hyperlink>
      <w:hyperlink r:id="rId29" w:tooltip="Мюллер, Ганс (руководитель крестьянского восстания) (страница отсутствует)" w:history="1">
        <w:r w:rsidRPr="007050B7">
          <w:rPr>
            <w:rFonts w:ascii="Times New Roman" w:eastAsia="Times New Roman" w:hAnsi="Times New Roman"/>
            <w:sz w:val="28"/>
            <w:szCs w:val="28"/>
            <w:vertAlign w:val="superscript"/>
            <w:lang w:eastAsia="ru-RU"/>
          </w:rPr>
          <w:t>ru</w:t>
        </w:r>
      </w:hyperlink>
      <w:r w:rsidRPr="007050B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en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из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"https://ru.wikipedia.org/w/index.php?title=%D0%91%D1%83%D0%BB%D1%8C%D0%B3%D0%B5%D0%BD%D0%B1%D0%B0%D1%85&amp;action=edit&amp;redlink=1" \o "Бульгенбах (страница отсутствует)"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Бульгенбаха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50B7" w:rsidRPr="007050B7" w:rsidRDefault="007050B7" w:rsidP="007050B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второй район, где наиболее распространенной являлась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Гейльброннская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программа, охватывал </w:t>
      </w:r>
      <w:hyperlink r:id="rId30" w:tooltip="Франкония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Франконию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от </w:t>
      </w:r>
      <w:hyperlink r:id="rId31" w:tooltip="Ротенбург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Ротенбурга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32" w:tooltip="Бенсгейм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Бенсгейма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до </w:t>
      </w:r>
      <w:hyperlink r:id="rId33" w:tooltip="Вюрцбург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Вюрцбурга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34" w:tooltip="Таубер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Таубера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: здесь восстанием руководили организатор «Светлого отряда» </w:t>
      </w:r>
      <w:hyperlink r:id="rId35" w:tooltip="Рорбах, Яков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Якоб </w:t>
        </w:r>
        <w:proofErr w:type="spellStart"/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Рорбах</w:t>
        </w:r>
        <w:proofErr w:type="spellEnd"/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6" w:tooltip="Метцлер, Георг (страница отсутствует)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Георг </w:t>
        </w:r>
        <w:proofErr w:type="spellStart"/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Метцлер</w:t>
        </w:r>
        <w:proofErr w:type="spellEnd"/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37" w:tooltip="Рыцарь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рыцарь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"https://ru.wikipedia.org/wiki/%D0%91%D0%B5%D1%80%D0%BB%D0%B8%D1%85%D0%B8%D0%BD%D0%B3%D0%B5%D0%BD,_%D0%93%D0%BE%D1%82%D1%84%D1%80%D0%B8%D0%B4_%D1%84%D0%BE%D0%BD" \o "Берлихинген, Готфрид фон"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Гёц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фон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Берлихинген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50B7" w:rsidRPr="007050B7" w:rsidRDefault="007050B7" w:rsidP="007050B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далее к северу, до </w:t>
      </w:r>
      <w:hyperlink r:id="rId38" w:tooltip="Тюрингия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Тюрингии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39" w:tooltip="Саксония (курфюршество)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Саксонии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в Крестьянском восстании важнейшую роль играли </w:t>
      </w:r>
      <w:hyperlink r:id="rId40" w:tooltip="Анабаптизм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анабаптистские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стремления, а главным деятелем являлся </w:t>
      </w:r>
      <w:hyperlink r:id="rId41" w:tooltip="Томас Мюнцер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Томас Мюнцер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Помимо этих районов, движение охватило часть </w:t>
      </w:r>
      <w:hyperlink r:id="rId42" w:tooltip="Швабия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Швабии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где его возглавил рыцарь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"https://ru.wikipedia.org/wiki/%D0%93%D0%B0%D0%B9%D0%B5%D1%80,_%D0%A4%D0%BB%D0%BE%D1%80%D0%B8%D0%B0%D0%BD" \o "Гайер, Флориан"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Флориан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Гайер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организовавший на собственные средства хорошо вооруженный и боеспособный </w:t>
      </w:r>
      <w:hyperlink r:id="rId43" w:tooltip="Чёрный отряд Флориана Гайера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«Чёрный отряд»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Три программы крестьянской войны:</w:t>
      </w:r>
    </w:p>
    <w:p w:rsidR="007050B7" w:rsidRPr="007050B7" w:rsidRDefault="007050B7" w:rsidP="007050B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hyperlink r:id="rId44" w:tooltip="Статейное письмо (страница отсутствует)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Статейное письмо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— революционная идея перехода власти к простому народу.</w:t>
      </w:r>
    </w:p>
    <w:p w:rsidR="007050B7" w:rsidRPr="007050B7" w:rsidRDefault="007050B7" w:rsidP="007050B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2) «</w:t>
      </w:r>
      <w:hyperlink r:id="rId45" w:tooltip="12 статей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12 статей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» — мирные намерения крестьян, смягчение феодального гнета.</w:t>
      </w:r>
    </w:p>
    <w:p w:rsidR="007050B7" w:rsidRPr="007050B7" w:rsidRDefault="007050B7" w:rsidP="007050B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"https://ru.wikipedia.org/w/index.php?title=%D0%93%D0%B5%D0%B9%D0%BB%D1%8C%D0%B1%D1%80%D0%BE%D0%BD%D0%BD%D1%81%D0%BA%D0%B0%D1%8F_%D0%BF%D1%80%D0%BE%D0%B3%D1%80%D0%B0%D0%BC%D0%BC%D0%B0&amp;action=edit&amp;redlink=1" \o "Гейльброннская программа (страница отсутствует)"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Гейльброннская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</w: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— программа, выгодная рыцарству.</w:t>
      </w:r>
    </w:p>
    <w:p w:rsidR="007050B7" w:rsidRPr="007050B7" w:rsidRDefault="007050B7" w:rsidP="007050B7">
      <w:p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b/>
          <w:sz w:val="28"/>
          <w:szCs w:val="28"/>
          <w:lang w:eastAsia="ru-RU"/>
        </w:rPr>
        <w:t>Ход войны.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 первой половине </w:t>
      </w:r>
      <w:hyperlink r:id="rId46" w:tooltip="1524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1524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уже появлялись первые искорки восстания. Крестьяне были недовольны большим количеством податей, взимаемых дворянством и церковью, количество и величина которых только росли. Так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Циммерман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приводит в пример аббата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Кемптена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который в </w:t>
      </w:r>
      <w:hyperlink r:id="rId47" w:tooltip="1523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1523 году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увеличил налоги в общей сложности в 20 раз, а также заставлял платить десятину даже те дворы, которые освобождались старинными грамотами от неё. В то же время активно действовали проповедники реформаторского толка, которые призывали народ к возвращению к раннехристианским традициям и к отказу от уплаты непосильных налогов. Центральную роль в пропаганде подобных идей исполняли перекрещенцы или анабаптисты, которые отвергали крещение детей и крестили только взрослых, уже знакомых с религией.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Одно из первых открытых выступлений произошло 26 мая </w:t>
      </w:r>
      <w:hyperlink r:id="rId48" w:tooltip="1524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1524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в городе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Форхейме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Община города принудила бургомистра и солдат дать клятву действовать с ними заодно. Из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Форхеймских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окрестностей пришло 500 человек вооруженных крестьян. Вместе они приняли устав, предполагавший сделать рыбу, дичь, дрова и птицу общим достоянием, вместо десятого дня работать на господ тридцатый, а на духовенство ни одного. В области соседнего </w:t>
      </w:r>
      <w:hyperlink r:id="rId49" w:tooltip="Нюрнберг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Нюрнберга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крестьяне также восстали, на сходах звучали призывы свергнуть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антихристово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иго и освободиться от гнета господ. Движение было разогнано маркграфом Казимиром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Аспахским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крестьяне разбежались при виде кавалерии и пушек, однако это было лишь начало.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Летом </w:t>
      </w:r>
      <w:hyperlink r:id="rId50" w:tooltip="1524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1524 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крестьяне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"https://ru.wikipedia.org/wiki/%D0%A8%D1%82%D1%8E%D0%BB%D0%B8%D0%BD%D0%B3%D0%B5%D0%BD" \o "Штюлинген"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Штюлингена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и окрестных деревень восстали против своих господ и отказались нести барщину, платить подушную, соблюдать вассальные обязанности и уважать дворянские права. Повел их за собой Ганс Мюллер, бывший опытным солдатом и талантливым руководителем. 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Вальдсгуте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крестьяне объединяются с горожанами, которые уже были настроены достаточно «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реформационно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» в связи с деятельностью проповедника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Бальтазара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Губмайера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, и образуют так называемое Евангельское братство, которое отказывалось повиноваться и платить налоги кому-либо, кроме императора. Когда вести о волнениях доходят до князей Швабского союза, они пытаются успокоить их ласковыми речами, что, однако, им не удается. Для рассмотрения крестьянских требований была назначена комиссия 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Радольфцелле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на которой заседали представители Швабского союза совместно с австрийскими князьями, известными своей строгостью нравов. Комиссия была проигнорирована крестьянами, а восстание продолжило набирать обороты, в том числе и не без помощи Томаса Мюнцера и его учеников, которые к осени </w:t>
      </w:r>
      <w:hyperlink r:id="rId51" w:tooltip="1524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1524 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прибывают в Швабию.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 конце </w:t>
      </w:r>
      <w:hyperlink r:id="rId52" w:tooltip="1524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1524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сторонниками </w:t>
      </w:r>
      <w:hyperlink r:id="rId53" w:tooltip="Мюнцер, Томас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Мюнцера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создается «Статейное письмо», согласно которому все люди должны объединиться в христианское братство и бороться против гнета со стороны духовных и светских властей. Сами же угнетатели объявлялись в «светском отучении» до тех пор, пока они не откажутся от своих эксплуататорских настроений. В «Статейном письме» прослеживается определенная степень радикальности, поскольку присутствует идея об обществе социально равных людей. Письмо нельзя считать программой для всех принимавших участие в войне крестьян, поскольку в разных очагах восстания были свои лидеры.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К началу нового </w:t>
      </w:r>
      <w:hyperlink r:id="rId54" w:tooltip="1525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1525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восстание доходит до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"https://ru.wikipedia.org/wiki/%D0%90%D0%BB%D0%BB%D1%8C%D0%B3%D0%BE%D0%B9" \o "Алльгой"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Альгоя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. Крестьяне фактически находились в состоянии крепостной зависимости по отношению к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Кемптенскому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аббату, поэтому сам аббат, испугавшись возможных последствий, организовал комиссию из честных людей, на которой крестьяне могли представлять свои жалобы. Тем не менее, это была лишь незначительная уступка и она не была эффективна: на жалобы со стороны крестьян на аббата-князя Швабскому союзу им отвечали лишь обещаниями, при этом параллельно вооружаясь. Крестьяне, понимая это, </w: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консолидировались в так называемое «Христианское общество», куда кроме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кемптенских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вошли крестьяне и бедняки из соседних районов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"https://ru.wikipedia.org/wiki/%D0%90%D0%BB%D1%8C%D0%B3%D0%BE%D0%B9" \o "Альгой"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Альгоя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Меммингене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состоялся сейм из выборных и представителей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альгойских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крестьян, где был принят устав Общества, называемый также «Двенадцатью статьями», а также военно-наступательный союз нескольких отрядов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альгойских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крестьян. Устав можно охарактеризовать как умеренный, поскольку согласно ему все честное крестьянство обязалось нести повинности, если они не будут чрезмерными, и не восставать против власти. Крестьяне лишь требовали права назначения и смещения священника для каждой общины, а также отмены законов на запрет ловли птицы, дичи и рыбы, а также отмены посмертного побора. Такими, весьма умеренными по сравнению с положениями «Статейного письма», мерами представители «Христианского общества» пытались добиться соглашения со Швабским союзом. Однако соглашения достигнуть так и не удалось.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На словах задабривая и соглашаясь рассмотреть требования крестьян, на деле князья лишь оттягивали время для сбора сил Союза. В конце марта — начале апреля командир войск Союза —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"https://ru.wikipedia.org/wiki/%D0%A1%D0%B5%D0%BD%D0%B5%D1%88%D0%B0%D0%BB%D1%8C" \o "Сенешаль"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трухзес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55" w:tooltip="Вальдбурги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Георг фон </w:t>
        </w:r>
        <w:proofErr w:type="spellStart"/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Вальдбург</w:t>
        </w:r>
        <w:proofErr w:type="spellEnd"/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вероломно начинает военные действия против тех самых умеренно настроенных крестьян, которые пытались заключить мирное соглашение. Справедливости ради следует отметить, что далеко не все крестьяне были так мирно настроены, и что в это же время по всей Швабии, и даже выходя за её пределы, крестьяне грабили и сжигали поместья феодалов, с чем Швабский союз мириться не хотел. В течение апреля </w:t>
      </w:r>
      <w:hyperlink r:id="rId56" w:tooltip="1525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1525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силы крестьян в Верхней Швабии были сломлены. Кроме очевидной слабой военной подготовки и недостатка припасов, в качестве причины поражения крестьян в войне, как в Швабии, так и в целом в Германии, можно назвать различные взгляды на трактовку христианства у разных лидеров крестьянского движения.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"https://ru.wikipedia.org/wiki/%D0%A1%D0%B5%D0%BD%D0%B5%D1%88%D0%B0%D0%BB%D1%8C" \o "Сенешаль"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Трухзес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пользовался этим и вносил смуту в ряды крестьян, пользуясь их слабостями, в результате чего некоторые отряды сдавались без боя.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К весне </w:t>
      </w:r>
      <w:hyperlink r:id="rId57" w:tooltip="1525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1525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"https://ru.wikipedia.org/wiki/%D0%A4%D1%80%D0%B0%D0%BD%D0%BA%D0%BE%D0%BD%D0%B8%D1%8F" \o "Франкония"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Франкония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уже была охвачена пламенем войны. Главные предводители крестьянства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"https://ru.wikipedia.org/wiki/%D0%A4%D1%80%D0%B0%D0%BD%D0%BA%D0%BE%D0%BD%D0%B8%D1%8F" \o "Франкония"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Франконии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— рыцарь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"https://ru.wikipedia.org/wiki/%D0%93%D0%B0%D0%B9%D0%B5%D1%80,_%D0%A4%D0%BB%D0%BE%D1%80%D0%B8%D0%B0%D0%BD" \o "Гайер, Флориан"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Флориан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Гайер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 со своим «Черным отрядом», а также Яков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Рорбах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активными последователями программы, предложенной Мюнцером в «Статейном письме». По всей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Франконии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они разрушали замки и монастыри, показывая непоколебимую верность принципам. Однако и здесь нашлось место для несходства в интересах. Начальник полевой канцелярии крестьян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Вендель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Гиплер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вероятно вполне искренне хотел мира и справедливости в своей стране, однако был дворянином по происхождению и учитывал интересы и своего сословия. Видя, что в крестьянском движении не хватает талантливых полководцев, он решает позвать своего друга — рыцаря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Гёца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фон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Берлихингена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представив его как опытного полководца, хотя он таковым не являлся.</w:t>
      </w:r>
    </w:p>
    <w:p w:rsidR="007050B7" w:rsidRP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Так или иначе, после долгих уговоров крестьяне все же принимают его в качестве главнокомандующего. Яков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Рорбах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Флориан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Гейер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при этом отстранены от руководства так называемым «Светлым отрядом». Вместе с тем, вскоре после этого, принимаются поправки в «12 статей», предусматривавшие отложить требования крестьян до проведения некой имперской реформы. Поправки были встречены неохотно, в связи с чем </w:t>
      </w:r>
      <w:proofErr w:type="spellStart"/>
      <w:proofErr w:type="gram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Гиплер</w:t>
      </w:r>
      <w:proofErr w:type="spellEnd"/>
      <w:proofErr w:type="gram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и его сторонники представляют свой проект, называемый также «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Гейльброннской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программой», больше выражавший интересы бюргерства и рыцарства, чем крестьян. Согласно ей, светские владения церковных деятелей должны быть секуляризированы для выплаты убытков светским владетелям; все власти должны быть подчинены центру, то есть императору; суд строился на принципе сословного представительства. Крестьяне по данной программе могли откупиться от повинностей путём единовременной уплаты повинности в двадцатикратном размере.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Трухзес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во главе войск Швабского союза прибыл во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Франконию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в момент, когда </w:t>
      </w:r>
      <w:proofErr w:type="spellStart"/>
      <w:proofErr w:type="gram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Гиплер</w:t>
      </w:r>
      <w:proofErr w:type="spellEnd"/>
      <w:proofErr w:type="gram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и его сторонники готовились созвать съезд крестьянских представителей для обсуждения проекта «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Гейльброннской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программы». Руководящие слои бюргерства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франконских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городов открыто встали на путь предательства. Магистраты Вюрцбурга и других городов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Франконии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открывали ворота войскам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Трухзеса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. Крестьянские силы во 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Франконии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были, таким образом, разгромлены по тем же причинам, что и в Верхней Швабии, — из-за собственной неспособности организоваться для отпора врагу и из-за предательства бюргерства.</w:t>
      </w:r>
    </w:p>
    <w:p w:rsidR="007050B7" w:rsidRDefault="007050B7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В то же время </w:t>
      </w:r>
      <w:hyperlink r:id="rId58" w:tooltip="Мюнцер, Томас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Мюнцер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находившийся в </w:t>
      </w:r>
      <w:hyperlink r:id="rId59" w:tooltip="Тюрингия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Тюрингии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предпринял решительную попытку переломить ход войны. Находясь в </w:t>
      </w:r>
      <w:proofErr w:type="spellStart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"https://ru.wikipedia.org/wiki/%D0%9C%D1%8E%D0%BB%D1%8C%D1%85%D0%B0%D1%83%D0%B7%D0%B5%D0%BD_(%D0%A2%D1%8E%D1%80%D0%B8%D0%BD%D0%B3%D0%B8%D1%8F)" \o "Мюльхаузен (Тюрингия)" </w:instrText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Мюльхаузене</w:t>
      </w:r>
      <w:proofErr w:type="spellEnd"/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 с </w:t>
      </w:r>
      <w:hyperlink r:id="rId60" w:tooltip="1525 год" w:history="1">
        <w:r w:rsidRPr="007050B7">
          <w:rPr>
            <w:rFonts w:ascii="Times New Roman" w:eastAsia="Times New Roman" w:hAnsi="Times New Roman"/>
            <w:sz w:val="28"/>
            <w:szCs w:val="28"/>
            <w:lang w:eastAsia="ru-RU"/>
          </w:rPr>
          <w:t>1525 года</w:t>
        </w:r>
      </w:hyperlink>
      <w:r w:rsidRPr="007050B7">
        <w:rPr>
          <w:rFonts w:ascii="Times New Roman" w:eastAsia="Times New Roman" w:hAnsi="Times New Roman"/>
          <w:sz w:val="28"/>
          <w:szCs w:val="28"/>
          <w:lang w:eastAsia="ru-RU"/>
        </w:rPr>
        <w:t>, он делает этот город центром крестьянского движения в Тюрингии и Саксонии. Восставшие действовали во многих пунктах этих земель, вооружённые отряды занимали города, замки, господские имения и монастыри. Господскую землю и добро крестьяне, по указанию Мюнцера, делили между собой. Крестьяне питали к Мюнцеру большое доверие и советовались с ним по всем вопросам борьбы с феодалами и по своим хозяйственным делам.</w:t>
      </w:r>
    </w:p>
    <w:p w:rsidR="006A6503" w:rsidRPr="007050B7" w:rsidRDefault="006A6503" w:rsidP="007050B7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50B7" w:rsidRPr="007050B7" w:rsidRDefault="006A6503" w:rsidP="006A6503">
      <w:pPr>
        <w:rPr>
          <w:rFonts w:ascii="Georgia" w:hAnsi="Georgia"/>
          <w:b/>
          <w:bCs/>
          <w:sz w:val="28"/>
        </w:rPr>
      </w:pPr>
      <w:r w:rsidRPr="006A6503">
        <w:rPr>
          <w:rStyle w:val="a3"/>
          <w:rFonts w:ascii="Georgia" w:hAnsi="Georgia"/>
          <w:sz w:val="28"/>
        </w:rPr>
        <w:t>Жан Кальвин и распространение его учения.</w:t>
      </w:r>
    </w:p>
    <w:p w:rsidR="006A6503" w:rsidRPr="006A6503" w:rsidRDefault="007050B7" w:rsidP="007050B7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6A6503">
        <w:rPr>
          <w:sz w:val="28"/>
          <w:szCs w:val="28"/>
        </w:rPr>
        <w:t>Впрочем, протестантизм времен Лютера и Цвингли был еще терпимее и более носил на себе</w:t>
      </w:r>
      <w:bookmarkStart w:id="0" w:name="_GoBack"/>
      <w:bookmarkEnd w:id="0"/>
      <w:r w:rsidRPr="006A6503">
        <w:rPr>
          <w:sz w:val="28"/>
          <w:szCs w:val="28"/>
        </w:rPr>
        <w:t xml:space="preserve"> следов влияния гуманизма, чем при третьем реформаторе Кальвине. Лютеранская и цвинглианская реформация возникла в германском племени и почти не выходила из его пределов, а реформация </w:t>
      </w:r>
      <w:proofErr w:type="spellStart"/>
      <w:r w:rsidRPr="006A6503">
        <w:rPr>
          <w:sz w:val="28"/>
          <w:szCs w:val="28"/>
        </w:rPr>
        <w:t>кальвинистическая</w:t>
      </w:r>
      <w:proofErr w:type="spellEnd"/>
      <w:r w:rsidRPr="006A6503">
        <w:rPr>
          <w:sz w:val="28"/>
          <w:szCs w:val="28"/>
        </w:rPr>
        <w:t xml:space="preserve"> совершилась в романском племени и распространилась среди разных других народов. По времени она была много позднее реформации Лютера и Цвингли.</w:t>
      </w:r>
    </w:p>
    <w:p w:rsidR="006A6503" w:rsidRPr="006A6503" w:rsidRDefault="006A6503" w:rsidP="007050B7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6A6503">
        <w:rPr>
          <w:sz w:val="28"/>
          <w:szCs w:val="28"/>
        </w:rPr>
        <w:t xml:space="preserve">Жан Кальвин был по происхождению француз и на двадцать пять лет моложе Лютера и Цвингли. Человек сухой и черствый, заслуживший от своих </w:t>
      </w:r>
      <w:r w:rsidRPr="006A6503">
        <w:rPr>
          <w:sz w:val="28"/>
          <w:szCs w:val="28"/>
        </w:rPr>
        <w:lastRenderedPageBreak/>
        <w:t xml:space="preserve">школьных товарищей кличку </w:t>
      </w:r>
      <w:proofErr w:type="spellStart"/>
      <w:r w:rsidRPr="006A6503">
        <w:rPr>
          <w:sz w:val="28"/>
          <w:szCs w:val="28"/>
        </w:rPr>
        <w:t>Accusativus</w:t>
      </w:r>
      <w:proofErr w:type="spellEnd"/>
      <w:r w:rsidRPr="006A6503">
        <w:rPr>
          <w:sz w:val="28"/>
          <w:szCs w:val="28"/>
        </w:rPr>
        <w:t xml:space="preserve"> [«Обвинитель»], он получил юридическое образование. Если Лютер по воспитанию был схоластик, а Цвингли – гуманист, то Кальвин был прежде всего юрист. На изучении римского права с его точными и ясными формулами и с его строгою систематичностью он выработал свою логику, отличавшуюся неумолимою последовательностью. Лютер и Цвингли многое высказывали в пылу спора, сами себе нередко противореча или прямо переменяя свои мнения, а Кальвин, нашедший уже готовыми главные положения нового вероучения, построил из них стройную систему. Чувствуя себя небезопасным на родине после перехода в протестантизм, он переселился в Женеву, где и прожил с небольшим перерывом около двадцати пяти лет, сделавшись в этом городе как бы диктатором.</w:t>
      </w:r>
    </w:p>
    <w:p w:rsidR="006A6503" w:rsidRPr="006A6503" w:rsidRDefault="006A6503" w:rsidP="007050B7">
      <w:pPr>
        <w:pStyle w:val="a4"/>
        <w:shd w:val="clear" w:color="auto" w:fill="FFFFFF"/>
        <w:spacing w:before="120" w:beforeAutospacing="0" w:after="120" w:afterAutospacing="0"/>
        <w:rPr>
          <w:color w:val="333333"/>
          <w:sz w:val="28"/>
          <w:szCs w:val="28"/>
          <w:shd w:val="clear" w:color="auto" w:fill="FFFFFF"/>
        </w:rPr>
      </w:pPr>
      <w:r w:rsidRPr="006A6503">
        <w:rPr>
          <w:color w:val="333333"/>
          <w:sz w:val="28"/>
          <w:szCs w:val="28"/>
          <w:shd w:val="clear" w:color="auto" w:fill="FFFFFF"/>
        </w:rPr>
        <w:t>В своей реформе Кальвин продолжал дело Цвингли, так же </w:t>
      </w:r>
      <w:r w:rsidRPr="006A6503">
        <w:rPr>
          <w:rStyle w:val="a6"/>
          <w:color w:val="333333"/>
          <w:sz w:val="28"/>
          <w:szCs w:val="28"/>
          <w:shd w:val="clear" w:color="auto" w:fill="FFFFFF"/>
        </w:rPr>
        <w:t>дав основанной им церкви республиканское устройство. </w:t>
      </w:r>
      <w:r w:rsidRPr="006A6503">
        <w:rPr>
          <w:color w:val="333333"/>
          <w:sz w:val="28"/>
          <w:szCs w:val="28"/>
          <w:shd w:val="clear" w:color="auto" w:fill="FFFFFF"/>
        </w:rPr>
        <w:t>Он начал свою деятельность с систематического изложения протестантизма, написав в 1536 г. знаменитое «Наставление в христианской религии». Кальвин принял учение Лютера, что человек оправдывается перед Богом не своими заслугами, но верою, и что эта вера есть особый дар милости Божией. И вера, учил Кальвин, не зависит от самого человека: иначе от человека зависело бы его спасение, что было бы только ограничением всемогущества Божия.</w:t>
      </w:r>
    </w:p>
    <w:p w:rsidR="006A6503" w:rsidRPr="006A6503" w:rsidRDefault="006A6503" w:rsidP="007050B7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6A6503">
        <w:rPr>
          <w:sz w:val="28"/>
          <w:szCs w:val="28"/>
        </w:rPr>
        <w:t xml:space="preserve">Свободную волю человека отрицал уже Лютер (между прочим, в полемике с Эразмом, стоявшим за свободную волю), но только Кальвин сделал последние выводы из учения о предопределении. По его взгляду, Бог изначала и совершенно независимо от будущего поведения людей одних предопределяет к вечному блаженству, других – к вечному мучению. Только одни «избранные» и составляют истинную церковь, но так как при жизни никто не знает, к чему он предопределен, то все должны принадлежать к видимой церкви и вести себя так, как требует закон Божий, дабы быть достойными благодати Божией, в случае </w:t>
      </w:r>
      <w:proofErr w:type="spellStart"/>
      <w:r w:rsidRPr="006A6503">
        <w:rPr>
          <w:sz w:val="28"/>
          <w:szCs w:val="28"/>
        </w:rPr>
        <w:t>предызбрания</w:t>
      </w:r>
      <w:proofErr w:type="spellEnd"/>
      <w:r w:rsidRPr="006A6503">
        <w:rPr>
          <w:sz w:val="28"/>
          <w:szCs w:val="28"/>
        </w:rPr>
        <w:t xml:space="preserve"> к спасению. Учение Кальвина об евхаристии тоже стоит в тесной связи с догматом о предопределении; в таинстве сообщается благодать, но только «избранным».</w:t>
      </w:r>
    </w:p>
    <w:p w:rsidR="006A6503" w:rsidRPr="006A6503" w:rsidRDefault="006A6503" w:rsidP="006A6503">
      <w:pPr>
        <w:pStyle w:val="a4"/>
        <w:shd w:val="clear" w:color="auto" w:fill="FFFFFF"/>
        <w:spacing w:before="120" w:after="120"/>
        <w:rPr>
          <w:b/>
          <w:sz w:val="28"/>
        </w:rPr>
      </w:pPr>
      <w:r w:rsidRPr="006A6503">
        <w:rPr>
          <w:b/>
          <w:sz w:val="28"/>
        </w:rPr>
        <w:t xml:space="preserve">Реформаторы Женевы: </w:t>
      </w:r>
      <w:proofErr w:type="spellStart"/>
      <w:r w:rsidRPr="006A6503">
        <w:rPr>
          <w:b/>
          <w:sz w:val="28"/>
        </w:rPr>
        <w:t>Гийом</w:t>
      </w:r>
      <w:proofErr w:type="spellEnd"/>
      <w:r w:rsidRPr="006A6503">
        <w:rPr>
          <w:b/>
          <w:sz w:val="28"/>
        </w:rPr>
        <w:t xml:space="preserve"> </w:t>
      </w:r>
      <w:proofErr w:type="spellStart"/>
      <w:r w:rsidRPr="006A6503">
        <w:rPr>
          <w:b/>
          <w:sz w:val="28"/>
        </w:rPr>
        <w:t>Фарель</w:t>
      </w:r>
      <w:proofErr w:type="spellEnd"/>
      <w:r w:rsidRPr="006A6503">
        <w:rPr>
          <w:b/>
          <w:sz w:val="28"/>
        </w:rPr>
        <w:t xml:space="preserve">, Жан Кальвин, Теодор </w:t>
      </w:r>
      <w:proofErr w:type="spellStart"/>
      <w:r w:rsidRPr="006A6503">
        <w:rPr>
          <w:b/>
          <w:sz w:val="28"/>
        </w:rPr>
        <w:t>Беза</w:t>
      </w:r>
      <w:proofErr w:type="spellEnd"/>
      <w:r w:rsidRPr="006A6503">
        <w:rPr>
          <w:b/>
          <w:sz w:val="28"/>
        </w:rPr>
        <w:t xml:space="preserve">, Джон </w:t>
      </w:r>
      <w:proofErr w:type="spellStart"/>
      <w:r w:rsidRPr="006A6503">
        <w:rPr>
          <w:b/>
          <w:sz w:val="28"/>
        </w:rPr>
        <w:t>Нокс</w:t>
      </w:r>
      <w:proofErr w:type="spellEnd"/>
      <w:r w:rsidRPr="006A6503">
        <w:rPr>
          <w:b/>
          <w:sz w:val="28"/>
        </w:rPr>
        <w:t>. "Стена реформаторов" в Же</w:t>
      </w:r>
      <w:r w:rsidRPr="006A6503">
        <w:rPr>
          <w:b/>
          <w:sz w:val="28"/>
        </w:rPr>
        <w:t>неве</w:t>
      </w:r>
    </w:p>
    <w:p w:rsidR="006A6503" w:rsidRPr="006A6503" w:rsidRDefault="006A6503" w:rsidP="006A6503">
      <w:pPr>
        <w:pStyle w:val="a4"/>
        <w:shd w:val="clear" w:color="auto" w:fill="FFFFFF"/>
        <w:spacing w:before="120" w:beforeAutospacing="0" w:after="120" w:afterAutospacing="0"/>
        <w:rPr>
          <w:sz w:val="28"/>
        </w:rPr>
      </w:pPr>
      <w:r w:rsidRPr="006A6503">
        <w:rPr>
          <w:sz w:val="28"/>
        </w:rPr>
        <w:t xml:space="preserve">Истинные последователи Кальвина все были внутренне убеждены в своем избранничестве и применяли к себе библейские указания о народе Божием, призванном истреблять безбожников. (Впрочем, эта черта была и у сектантов). Отсюда их непреклонная гордость, строгость нравов и неумолимая суровость к грешникам и к людям, не разделявшим их взглядов. При помощи своих сторонников Кальвин превратил Женеву в подобие монастыря. Реформатор осудил и сектантов, заявив, что Бог раз навсегда открыл свою волю в Священном Писании, осудил и светский гуманизм, признав, что «невежество верующего лучше гордости знающего». Кальвину </w:t>
      </w:r>
      <w:r w:rsidRPr="006A6503">
        <w:rPr>
          <w:sz w:val="28"/>
        </w:rPr>
        <w:lastRenderedPageBreak/>
        <w:t xml:space="preserve">удалось (по </w:t>
      </w:r>
      <w:proofErr w:type="spellStart"/>
      <w:r w:rsidRPr="006A6503">
        <w:rPr>
          <w:sz w:val="28"/>
        </w:rPr>
        <w:t>цюрихскому</w:t>
      </w:r>
      <w:proofErr w:type="spellEnd"/>
      <w:r w:rsidRPr="006A6503">
        <w:rPr>
          <w:sz w:val="28"/>
        </w:rPr>
        <w:t xml:space="preserve"> соглашению) соединить основанную им церковь с цвинглианскою в одну, которая стала называться реформатской. В середине XVI в. он занял положение главного представителя реформации («женевский папа»), и Женева сделалась своего рода «протестантским Римом». Сюда стекались из разных мест гонимые за веру, отсюда отправлялись проповедники реформации в другие страны. Кальвинизм из Швейцарии распространился во Франции и Германии, в Англии и Шотландии, в Голландии, в Венгрии, в Польше и Литве.</w:t>
      </w:r>
    </w:p>
    <w:sectPr w:rsidR="006A6503" w:rsidRPr="006A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55D0C"/>
    <w:multiLevelType w:val="multilevel"/>
    <w:tmpl w:val="B2A6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6B1D9E"/>
    <w:multiLevelType w:val="multilevel"/>
    <w:tmpl w:val="ECC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A13"/>
    <w:rsid w:val="006A6503"/>
    <w:rsid w:val="007050B7"/>
    <w:rsid w:val="00774467"/>
    <w:rsid w:val="00B54A13"/>
    <w:rsid w:val="00BF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0B87C-2D6C-4961-9FFC-3D2ACF32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50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2BF3"/>
    <w:rPr>
      <w:b/>
      <w:bCs/>
    </w:rPr>
  </w:style>
  <w:style w:type="paragraph" w:styleId="a4">
    <w:name w:val="Normal (Web)"/>
    <w:basedOn w:val="a"/>
    <w:uiPriority w:val="99"/>
    <w:unhideWhenUsed/>
    <w:rsid w:val="00BF2B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F2BF3"/>
    <w:rPr>
      <w:color w:val="0000FF"/>
      <w:u w:val="single"/>
    </w:rPr>
  </w:style>
  <w:style w:type="character" w:styleId="a6">
    <w:name w:val="Emphasis"/>
    <w:basedOn w:val="a0"/>
    <w:uiPriority w:val="20"/>
    <w:qFormat/>
    <w:rsid w:val="006A65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2%D0%B5%D0%BB%D0%B8%D0%BA%D0%B0%D1%8F_%D1%84%D1%80%D0%B0%D0%BD%D1%86%D1%83%D0%B7%D1%81%D0%BA%D0%B0%D1%8F_%D1%80%D0%B5%D0%B2%D0%BE%D0%BB%D1%8E%D1%86%D0%B8%D1%8F" TargetMode="External"/><Relationship Id="rId18" Type="http://schemas.openxmlformats.org/officeDocument/2006/relationships/hyperlink" Target="https://ru.wikipedia.org/wiki/%D0%AD%D0%BD%D0%B3%D0%B5%D0%BB%D1%8C%D1%81,_%D0%A4%D1%80%D0%B8%D0%B4%D1%80%D0%B8%D1%85" TargetMode="External"/><Relationship Id="rId26" Type="http://schemas.openxmlformats.org/officeDocument/2006/relationships/hyperlink" Target="https://ru.wikipedia.org/wiki/%D0%9A%D1%80%D0%B5%D1%81%D1%82%D1%8C%D1%8F%D0%BD%D1%81%D0%BA%D0%B0%D1%8F_%D0%B2%D0%BE%D0%B9%D0%BD%D0%B0_%D0%B2_%D0%93%D0%B5%D1%80%D0%BC%D0%B0%D0%BD%D0%B8%D0%B8" TargetMode="External"/><Relationship Id="rId39" Type="http://schemas.openxmlformats.org/officeDocument/2006/relationships/hyperlink" Target="https://ru.wikipedia.org/wiki/%D0%A1%D0%B0%D0%BA%D1%81%D0%BE%D0%BD%D0%B8%D1%8F_(%D0%BA%D1%83%D1%80%D1%84%D1%8E%D1%80%D1%88%D0%B5%D1%81%D1%82%D0%B2%D0%BE)" TargetMode="External"/><Relationship Id="rId21" Type="http://schemas.openxmlformats.org/officeDocument/2006/relationships/hyperlink" Target="https://ru.wikipedia.org/wiki/%D0%A0%D0%B5%D1%84%D0%BE%D1%80%D0%BC%D0%B0%D1%86%D0%B8%D1%8F" TargetMode="External"/><Relationship Id="rId34" Type="http://schemas.openxmlformats.org/officeDocument/2006/relationships/hyperlink" Target="https://ru.wikipedia.org/wiki/%D0%A2%D0%B0%D1%83%D0%B1%D0%B5%D1%80" TargetMode="External"/><Relationship Id="rId42" Type="http://schemas.openxmlformats.org/officeDocument/2006/relationships/hyperlink" Target="https://ru.wikipedia.org/wiki/%D0%A8%D0%B2%D0%B0%D0%B1%D0%B8%D1%8F" TargetMode="External"/><Relationship Id="rId47" Type="http://schemas.openxmlformats.org/officeDocument/2006/relationships/hyperlink" Target="https://ru.wikipedia.org/wiki/1523_%D0%B3%D0%BE%D0%B4" TargetMode="External"/><Relationship Id="rId50" Type="http://schemas.openxmlformats.org/officeDocument/2006/relationships/hyperlink" Target="https://ru.wikipedia.org/wiki/1524_%D0%B3%D0%BE%D0%B4" TargetMode="External"/><Relationship Id="rId55" Type="http://schemas.openxmlformats.org/officeDocument/2006/relationships/hyperlink" Target="https://ru.wikipedia.org/wiki/%D0%92%D0%B0%D0%BB%D1%8C%D0%B4%D0%B1%D1%83%D1%80%D0%B3%D0%B8" TargetMode="External"/><Relationship Id="rId7" Type="http://schemas.openxmlformats.org/officeDocument/2006/relationships/hyperlink" Target="https://ru.wikipedia.org/wiki/%D0%9A%D1%80%D0%B5%D1%81%D1%82%D1%8C%D1%8F%D0%BD%D1%81%D0%BA%D0%B8%D0%B9_%D0%B1%D0%B0%D1%88%D0%BC%D0%B0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8%D0%BB%D1%8C%D0%B3%D0%B5%D0%BB%D1%8C%D0%BC_%D0%A6%D0%B8%D0%BC%D0%BC%D0%B5%D1%80%D0%BC%D0%B0%D0%BD" TargetMode="External"/><Relationship Id="rId20" Type="http://schemas.openxmlformats.org/officeDocument/2006/relationships/hyperlink" Target="https://ru.wikipedia.org/wiki/XVI_%D0%B2%D0%B5%D0%BA" TargetMode="External"/><Relationship Id="rId29" Type="http://schemas.openxmlformats.org/officeDocument/2006/relationships/hyperlink" Target="https://ru.wikipedia.org/w/index.php?title=%D0%9C%D1%8E%D0%BB%D0%BB%D0%B5%D1%80,_%D0%93%D0%B0%D0%BD%D1%81_(%D1%80%D1%83%D0%BA%D0%BE%D0%B2%D0%BE%D0%B4%D0%B8%D1%82%D0%B5%D0%BB%D1%8C_%D0%BA%D1%80%D0%B5%D1%81%D1%82%D1%8C%D1%8F%D0%BD%D1%81%D0%BA%D0%BE%D0%B3%D0%BE_%D0%B2%D0%BE%D1%81%D1%81%D1%82%D0%B0%D0%BD%D0%B8%D1%8F)&amp;action=edit&amp;redlink=1" TargetMode="External"/><Relationship Id="rId41" Type="http://schemas.openxmlformats.org/officeDocument/2006/relationships/hyperlink" Target="https://ru.wikipedia.org/wiki/%D0%A2%D0%BE%D0%BC%D0%B0%D1%81_%D0%9C%D1%8E%D0%BD%D1%86%D0%B5%D1%80" TargetMode="External"/><Relationship Id="rId54" Type="http://schemas.openxmlformats.org/officeDocument/2006/relationships/hyperlink" Target="https://ru.wikipedia.org/wiki/1525_%D0%B3%D0%BE%D0%B4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2%D1%8F%D1%89%D0%B5%D0%BD%D0%BD%D0%B0%D1%8F_%D0%A0%D0%B8%D0%BC%D1%81%D0%BA%D0%B0%D1%8F_%D0%B8%D0%BC%D0%BF%D0%B5%D1%80%D0%B8%D1%8F" TargetMode="External"/><Relationship Id="rId11" Type="http://schemas.openxmlformats.org/officeDocument/2006/relationships/hyperlink" Target="https://ru.wikipedia.org/wiki/%D0%A1%D0%BE%D1%82%D0%B2%D0%BE%D1%80%D0%B5%D0%BD%D0%B8%D0%B5_%D0%BC%D0%B8%D1%80%D0%B0_%D0%B2_%D0%91%D0%B8%D0%B1%D0%BB%D0%B8%D0%B8" TargetMode="External"/><Relationship Id="rId24" Type="http://schemas.openxmlformats.org/officeDocument/2006/relationships/hyperlink" Target="https://ru.wikipedia.org/wiki/%D0%9C%D0%B0%D0%BD%D0%B8%D1%84%D0%B5%D1%81%D1%82" TargetMode="External"/><Relationship Id="rId32" Type="http://schemas.openxmlformats.org/officeDocument/2006/relationships/hyperlink" Target="https://ru.wikipedia.org/wiki/%D0%91%D0%B5%D0%BD%D1%81%D0%B3%D0%B5%D0%B9%D0%BC" TargetMode="External"/><Relationship Id="rId37" Type="http://schemas.openxmlformats.org/officeDocument/2006/relationships/hyperlink" Target="https://ru.wikipedia.org/wiki/%D0%A0%D1%8B%D1%86%D0%B0%D1%80%D1%8C" TargetMode="External"/><Relationship Id="rId40" Type="http://schemas.openxmlformats.org/officeDocument/2006/relationships/hyperlink" Target="https://ru.wikipedia.org/wiki/%D0%90%D0%BD%D0%B0%D0%B1%D0%B0%D0%BF%D1%82%D0%B8%D0%B7%D0%BC" TargetMode="External"/><Relationship Id="rId45" Type="http://schemas.openxmlformats.org/officeDocument/2006/relationships/hyperlink" Target="https://ru.wikipedia.org/wiki/12_%D1%81%D1%82%D0%B0%D1%82%D0%B5%D0%B9" TargetMode="External"/><Relationship Id="rId53" Type="http://schemas.openxmlformats.org/officeDocument/2006/relationships/hyperlink" Target="https://ru.wikipedia.org/wiki/%D0%9C%D1%8E%D0%BD%D1%86%D0%B5%D1%80,_%D0%A2%D0%BE%D0%BC%D0%B0%D1%81" TargetMode="External"/><Relationship Id="rId58" Type="http://schemas.openxmlformats.org/officeDocument/2006/relationships/hyperlink" Target="https://ru.wikipedia.org/wiki/%D0%9C%D1%8E%D0%BD%D1%86%D0%B5%D1%80,_%D0%A2%D0%BE%D0%BC%D0%B0%D1%81" TargetMode="External"/><Relationship Id="rId5" Type="http://schemas.openxmlformats.org/officeDocument/2006/relationships/hyperlink" Target="https://ru.wikipedia.org/wiki/%D0%A6%D0%B5%D0%BD%D1%82%D1%80%D0%B0%D0%BB%D1%8C%D0%BD%D0%B0%D1%8F_%D0%95%D0%B2%D1%80%D0%BE%D0%BF%D0%B0" TargetMode="External"/><Relationship Id="rId15" Type="http://schemas.openxmlformats.org/officeDocument/2006/relationships/hyperlink" Target="https://ru.wikipedia.org/wiki/%D0%90%D0%B2%D1%81%D1%82%D1%80%D0%B8%D1%8F" TargetMode="External"/><Relationship Id="rId23" Type="http://schemas.openxmlformats.org/officeDocument/2006/relationships/hyperlink" Target="https://ru.wikipedia.org/wiki/1525_%D0%B3%D0%BE%D0%B4" TargetMode="External"/><Relationship Id="rId28" Type="http://schemas.openxmlformats.org/officeDocument/2006/relationships/hyperlink" Target="https://en.wikipedia.org/wiki/Hans_M%C3%BCller_von_Bulgenbach" TargetMode="External"/><Relationship Id="rId36" Type="http://schemas.openxmlformats.org/officeDocument/2006/relationships/hyperlink" Target="https://ru.wikipedia.org/w/index.php?title=%D0%9C%D0%B5%D1%82%D1%86%D0%BB%D0%B5%D1%80,_%D0%93%D0%B5%D0%BE%D1%80%D0%B3&amp;action=edit&amp;redlink=1" TargetMode="External"/><Relationship Id="rId49" Type="http://schemas.openxmlformats.org/officeDocument/2006/relationships/hyperlink" Target="https://ru.wikipedia.org/wiki/%D0%9D%D1%8E%D1%80%D0%BD%D0%B1%D0%B5%D1%80%D0%B3" TargetMode="External"/><Relationship Id="rId57" Type="http://schemas.openxmlformats.org/officeDocument/2006/relationships/hyperlink" Target="https://ru.wikipedia.org/wiki/1525_%D0%B3%D0%BE%D0%B4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ru.wikipedia.org/wiki/%D0%92%D1%82%D0%BE%D1%80%D0%BE%D0%B5_%D0%BF%D1%80%D0%B8%D1%88%D0%B5%D1%81%D1%82%D0%B2%D0%B8%D0%B5_%D0%A5%D1%80%D0%B8%D1%81%D1%82%D0%B0" TargetMode="External"/><Relationship Id="rId19" Type="http://schemas.openxmlformats.org/officeDocument/2006/relationships/hyperlink" Target="https://ru.wikipedia.org/wiki/XV_%D0%B2%D0%B5%D0%BA" TargetMode="External"/><Relationship Id="rId31" Type="http://schemas.openxmlformats.org/officeDocument/2006/relationships/hyperlink" Target="https://ru.wikipedia.org/wiki/%D0%A0%D0%BE%D1%82%D0%B5%D0%BD%D0%B1%D1%83%D1%80%D0%B3" TargetMode="External"/><Relationship Id="rId44" Type="http://schemas.openxmlformats.org/officeDocument/2006/relationships/hyperlink" Target="https://ru.wikipedia.org/w/index.php?title=%D0%A1%D1%82%D0%B0%D1%82%D0%B5%D0%B9%D0%BD%D0%BE%D0%B5_%D0%BF%D0%B8%D1%81%D1%8C%D0%BC%D0%BE&amp;action=edit&amp;redlink=1" TargetMode="External"/><Relationship Id="rId52" Type="http://schemas.openxmlformats.org/officeDocument/2006/relationships/hyperlink" Target="https://ru.wikipedia.org/wiki/1524_%D0%B3%D0%BE%D0%B4" TargetMode="External"/><Relationship Id="rId60" Type="http://schemas.openxmlformats.org/officeDocument/2006/relationships/hyperlink" Target="https://ru.wikipedia.org/wiki/1525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2%D0%B5%D0%BD%D0%B0%D0%B4%D1%86%D0%B0%D1%82%D1%8C_%D1%81%D1%82%D0%B0%D1%82%D0%B5%D0%B9" TargetMode="External"/><Relationship Id="rId14" Type="http://schemas.openxmlformats.org/officeDocument/2006/relationships/hyperlink" Target="https://ru.wikipedia.org/wiki/%D0%AD%D0%BB%D1%8C%D0%B7%D0%B0%D1%81" TargetMode="External"/><Relationship Id="rId22" Type="http://schemas.openxmlformats.org/officeDocument/2006/relationships/hyperlink" Target="https://ru.wikipedia.org/wiki/%D0%94%D0%B2%D0%B5%D0%BD%D0%B0%D0%B4%D1%86%D0%B0%D1%82%D1%8C_%D1%81%D1%82%D0%B0%D1%82%D0%B5%D0%B9" TargetMode="External"/><Relationship Id="rId27" Type="http://schemas.openxmlformats.org/officeDocument/2006/relationships/hyperlink" Target="https://ru.wikipedia.org/wiki/%D0%98%D0%BD%D1%81%D1%83%D1%80%D0%B3%D0%B5%D0%BD%D1%82" TargetMode="External"/><Relationship Id="rId30" Type="http://schemas.openxmlformats.org/officeDocument/2006/relationships/hyperlink" Target="https://ru.wikipedia.org/wiki/%D0%A4%D1%80%D0%B0%D0%BD%D0%BA%D0%BE%D0%BD%D0%B8%D1%8F" TargetMode="External"/><Relationship Id="rId35" Type="http://schemas.openxmlformats.org/officeDocument/2006/relationships/hyperlink" Target="https://ru.wikipedia.org/wiki/%D0%A0%D0%BE%D1%80%D0%B1%D0%B0%D1%85,_%D0%AF%D0%BA%D0%BE%D0%B2" TargetMode="External"/><Relationship Id="rId43" Type="http://schemas.openxmlformats.org/officeDocument/2006/relationships/hyperlink" Target="https://ru.wikipedia.org/wiki/%D0%A7%D1%91%D1%80%D0%BD%D1%8B%D0%B9_%D0%BE%D1%82%D1%80%D1%8F%D0%B4_%D0%A4%D0%BB%D0%BE%D1%80%D0%B8%D0%B0%D0%BD%D0%B0_%D0%93%D0%B0%D0%B9%D0%B5%D1%80%D0%B0" TargetMode="External"/><Relationship Id="rId48" Type="http://schemas.openxmlformats.org/officeDocument/2006/relationships/hyperlink" Target="https://ru.wikipedia.org/wiki/1524_%D0%B3%D0%BE%D0%B4" TargetMode="External"/><Relationship Id="rId56" Type="http://schemas.openxmlformats.org/officeDocument/2006/relationships/hyperlink" Target="https://ru.wikipedia.org/wiki/1525_%D0%B3%D0%BE%D0%B4" TargetMode="External"/><Relationship Id="rId8" Type="http://schemas.openxmlformats.org/officeDocument/2006/relationships/hyperlink" Target="https://ru.wikipedia.org/wiki/%D0%93%D1%83%D1%81%D0%B8%D1%82%D1%81%D0%BA%D0%B8%D0%B5_%D0%B2%D0%BE%D0%B9%D0%BD%D1%8B" TargetMode="External"/><Relationship Id="rId51" Type="http://schemas.openxmlformats.org/officeDocument/2006/relationships/hyperlink" Target="https://ru.wikipedia.org/wiki/1524_%D0%B3%D0%BE%D0%B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3%D1%82%D0%BE%D0%BF%D0%B8%D1%87%D0%B5%D1%81%D0%BA%D0%B8%D0%B9_%D1%81%D0%BE%D1%86%D0%B8%D0%B0%D0%BB%D0%B8%D0%B7%D0%BC" TargetMode="External"/><Relationship Id="rId17" Type="http://schemas.openxmlformats.org/officeDocument/2006/relationships/hyperlink" Target="https://ru.wikipedia.org/wiki/%D0%9A%D1%80%D0%B5%D1%81%D1%82%D1%8C%D1%8F%D0%BD%D1%81%D0%BA%D0%B0%D1%8F_%D0%B2%D0%BE%D0%B9%D0%BD%D0%B0_%D0%B2_%D0%93%D0%B5%D1%80%D0%BC%D0%B0%D0%BD%D0%B8%D0%B8_(%D0%AD%D0%BD%D0%B3%D0%B5%D0%BB%D1%8C%D1%81)" TargetMode="External"/><Relationship Id="rId25" Type="http://schemas.openxmlformats.org/officeDocument/2006/relationships/hyperlink" Target="https://ru.wikipedia.org/w/index.php?title=%D0%93%D0%B5%D0%B9%D0%BB%D1%8C%D0%B1%D1%80%D0%BE%D0%BD%D0%BD%D1%81%D0%BA%D0%B0%D1%8F_%D0%BF%D1%80%D0%BE%D0%B3%D1%80%D0%B0%D0%BC%D0%BC%D0%B0&amp;action=edit&amp;redlink=1" TargetMode="External"/><Relationship Id="rId33" Type="http://schemas.openxmlformats.org/officeDocument/2006/relationships/hyperlink" Target="https://ru.wikipedia.org/wiki/%D0%92%D1%8E%D1%80%D1%86%D0%B1%D1%83%D1%80%D0%B3" TargetMode="External"/><Relationship Id="rId38" Type="http://schemas.openxmlformats.org/officeDocument/2006/relationships/hyperlink" Target="https://ru.wikipedia.org/wiki/%D0%A2%D1%8E%D1%80%D0%B8%D0%BD%D0%B3%D0%B8%D1%8F" TargetMode="External"/><Relationship Id="rId46" Type="http://schemas.openxmlformats.org/officeDocument/2006/relationships/hyperlink" Target="https://ru.wikipedia.org/wiki/1524_%D0%B3%D0%BE%D0%B4" TargetMode="External"/><Relationship Id="rId59" Type="http://schemas.openxmlformats.org/officeDocument/2006/relationships/hyperlink" Target="https://ru.wikipedia.org/wiki/%D0%A2%D1%8E%D1%80%D0%B8%D0%BD%D0%B3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3993</Words>
  <Characters>22762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2020-12-17T07:06:00Z</dcterms:created>
  <dcterms:modified xsi:type="dcterms:W3CDTF">2020-12-17T07:32:00Z</dcterms:modified>
</cp:coreProperties>
</file>